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 (see Leigh et al., 2017) 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6">
        <w:r>
          <w:rPr>
            <w:rStyle w:val="Hyperlink"/>
          </w:rPr>
          <w:t xml:space="preserve">ISSUE # 29</w:t>
        </w:r>
      </w:hyperlink>
      <w:r>
        <w:t xml:space="preserve">.</w:t>
      </w:r>
    </w:p>
    <w:bookmarkEnd w:id="47"/>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4"/>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5">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55" w:name="references"/>
    <w:p>
      <w:pPr>
        <w:pStyle w:val="Heading2"/>
      </w:pPr>
      <w:r>
        <w:t xml:space="preserve">References</w:t>
      </w:r>
    </w:p>
    <w:bookmarkStart w:id="254"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4"/>
    <w:bookmarkStart w:id="10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5"/>
    <w:bookmarkStart w:id="10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6"/>
    <w:bookmarkStart w:id="10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7"/>
    <w:bookmarkStart w:id="10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9"/>
    <w:bookmarkStart w:id="170" w:name="X30d206372820a5cc0303cc917b97fe6ff34d628"/>
    <w:p>
      <w:pPr>
        <w:pStyle w:val="Bibliography"/>
      </w:pPr>
      <w:r>
        <w:rPr>
          <w:b w:val="0"/>
          <w:b/>
        </w:rPr>
        <w:t xml:space="preserve">Niinemets U</w:t>
      </w:r>
      <w:r>
        <w:rPr>
          <w:b/>
        </w:rPr>
        <w:t xml:space="preserve">,</w:t>
      </w:r>
      <w:r>
        <w:rPr>
          <w:b/>
        </w:rPr>
        <w:t xml:space="preserve"> </w:t>
      </w:r>
      <w:r>
        <w:rPr>
          <w:b w:val="0"/>
          <w:b/>
        </w:rPr>
        <w:t xml:space="preserve">Copolovici L</w:t>
      </w:r>
      <w:r>
        <w:rPr>
          <w:b/>
        </w:rPr>
        <w:t xml:space="preserve">,</w:t>
      </w:r>
      <w:r>
        <w:rPr>
          <w:b/>
        </w:rPr>
        <w:t xml:space="preserve"> </w:t>
      </w:r>
      <w:r>
        <w:rPr>
          <w:b w:val="0"/>
          <w:b/>
        </w:rPr>
        <w:t xml:space="preserve">Hueve K</w:t>
      </w:r>
      <w:r>
        <w:t xml:space="preserve">.</w:t>
      </w:r>
      <w:r>
        <w:t xml:space="preserve"> </w:t>
      </w:r>
      <w:r>
        <w:rPr>
          <w:b/>
        </w:rPr>
        <w:t xml:space="preserve">2010</w:t>
      </w:r>
      <w:r>
        <w:t xml:space="preserve">. High within-canopy variation in isoprene emission potentials in temperate trees: Implications for predicting canopy-scale isoprene fluxes.</w:t>
      </w:r>
      <w:r>
        <w:t xml:space="preserve"> </w:t>
      </w:r>
      <w:r>
        <w:rPr>
          <w:i/>
        </w:rPr>
        <w:t xml:space="preserve">J. Geophys. Res.-Biogeosci.</w:t>
      </w:r>
      <w:r>
        <w:t xml:space="preserve"> </w:t>
      </w:r>
      <w:r>
        <w:rPr>
          <w:b/>
        </w:rPr>
        <w:t xml:space="preserve">115</w:t>
      </w:r>
      <w:r>
        <w:t xml:space="preserve">: G04029.</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23"/>
    <w:bookmarkStart w:id="224"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4"/>
    <w:bookmarkStart w:id="225"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5"/>
    <w:bookmarkStart w:id="226"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26"/>
    <w:bookmarkStart w:id="22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7"/>
    <w:bookmarkStart w:id="22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8"/>
    <w:bookmarkStart w:id="22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9"/>
    <w:bookmarkStart w:id="23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30"/>
    <w:bookmarkStart w:id="23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31"/>
    <w:bookmarkStart w:id="23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32"/>
    <w:bookmarkStart w:id="23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3"/>
    <w:bookmarkStart w:id="23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4"/>
    <w:bookmarkStart w:id="23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5"/>
    <w:bookmarkStart w:id="23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6"/>
    <w:bookmarkStart w:id="23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7"/>
    <w:bookmarkStart w:id="23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8"/>
    <w:bookmarkStart w:id="23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9"/>
    <w:bookmarkStart w:id="24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40"/>
    <w:bookmarkStart w:id="24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41"/>
    <w:bookmarkStart w:id="24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42"/>
    <w:bookmarkStart w:id="24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3"/>
    <w:bookmarkStart w:id="24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4"/>
    <w:bookmarkStart w:id="24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5"/>
    <w:bookmarkStart w:id="24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6"/>
    <w:bookmarkStart w:id="24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7"/>
    <w:bookmarkStart w:id="24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8"/>
    <w:bookmarkStart w:id="24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9"/>
    <w:bookmarkStart w:id="25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50"/>
    <w:bookmarkStart w:id="25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51"/>
    <w:bookmarkStart w:id="25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52"/>
    <w:bookmarkStart w:id="25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3"/>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2021-08-05T00:18:20Z</dcterms:created>
  <dcterms:modified xsi:type="dcterms:W3CDTF">2021-08-05T00:18:20Z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